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微软雅黑" w:hAnsi="微软雅黑" w:eastAsia="微软雅黑" w:cs="Arial"/>
          <w:bCs/>
          <w:sz w:val="28"/>
          <w:szCs w:val="28"/>
        </w:rPr>
      </w:pPr>
      <w:r>
        <w:rPr>
          <w:rStyle w:val="10"/>
          <w:rFonts w:hint="eastAsia" w:ascii="微软雅黑" w:hAnsi="微软雅黑" w:eastAsia="微软雅黑" w:cs="Arial"/>
          <w:sz w:val="28"/>
          <w:szCs w:val="28"/>
        </w:rPr>
        <w:t>东莞拾光公馆项目</w:t>
      </w:r>
      <w:r>
        <w:rPr>
          <w:rStyle w:val="10"/>
          <w:rFonts w:hint="eastAsia" w:ascii="微软雅黑" w:hAnsi="微软雅黑" w:eastAsia="微软雅黑" w:cs="Arial"/>
          <w:sz w:val="28"/>
          <w:szCs w:val="28"/>
          <w:lang w:val="en-US" w:eastAsia="zh-CN"/>
        </w:rPr>
        <w:t>房屋安全鉴定</w:t>
      </w:r>
      <w:r>
        <w:rPr>
          <w:rStyle w:val="10"/>
          <w:rFonts w:hint="eastAsia" w:ascii="微软雅黑" w:hAnsi="微软雅黑" w:eastAsia="微软雅黑" w:cs="Arial"/>
          <w:sz w:val="28"/>
          <w:szCs w:val="28"/>
        </w:rPr>
        <w:t>工程</w:t>
      </w:r>
      <w:r>
        <w:rPr>
          <w:rStyle w:val="10"/>
          <w:rFonts w:ascii="微软雅黑" w:hAnsi="微软雅黑" w:eastAsia="微软雅黑" w:cs="Arial"/>
          <w:sz w:val="28"/>
          <w:szCs w:val="28"/>
        </w:rPr>
        <w:t>招标公告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1.   招标公司及类别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1.1  招标公司名称：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东莞市梁景置业有限公司</w:t>
      </w:r>
    </w:p>
    <w:p>
      <w:pPr>
        <w:pStyle w:val="6"/>
        <w:rPr>
          <w:rFonts w:hint="default" w:ascii="微软雅黑" w:hAnsi="微软雅黑" w:eastAsia="微软雅黑" w:cstheme="minorBidi"/>
          <w:kern w:val="2"/>
          <w:sz w:val="21"/>
          <w:szCs w:val="21"/>
          <w:lang w:val="en-US" w:eastAsia="zh-CN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1.2 类别：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房屋安全鉴定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工程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2. 项目概况</w:t>
      </w:r>
    </w:p>
    <w:p>
      <w:pPr>
        <w:spacing w:line="360" w:lineRule="auto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 xml:space="preserve">2.1 </w:t>
      </w:r>
      <w:r>
        <w:rPr>
          <w:rFonts w:hint="eastAsia" w:ascii="微软雅黑" w:hAnsi="微软雅黑" w:eastAsia="微软雅黑"/>
          <w:szCs w:val="21"/>
        </w:rPr>
        <w:t>项目名称：</w:t>
      </w:r>
      <w:r>
        <w:rPr>
          <w:rFonts w:hint="eastAsia" w:ascii="微软雅黑" w:hAnsi="微软雅黑" w:eastAsia="微软雅黑" w:cs="微软雅黑"/>
          <w:szCs w:val="21"/>
        </w:rPr>
        <w:t>东莞拾光公馆项目</w:t>
      </w:r>
    </w:p>
    <w:p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工程地址：</w:t>
      </w:r>
      <w:r>
        <w:rPr>
          <w:rFonts w:hint="eastAsia" w:ascii="微软雅黑" w:hAnsi="微软雅黑" w:eastAsia="微软雅黑" w:cs="微软雅黑"/>
          <w:szCs w:val="21"/>
        </w:rPr>
        <w:t>东莞市望牛墩镇赤滘村、扶涌村</w:t>
      </w:r>
    </w:p>
    <w:p>
      <w:pPr>
        <w:pStyle w:val="6"/>
        <w:rPr>
          <w:rFonts w:hint="eastAsia"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2.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2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 xml:space="preserve"> 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鉴定内容：东莞拾光公关项目地块周边房屋结构鉴定，包含但不仅限于房屋裂缝观察、沉降观察、倾斜度观察等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。</w:t>
      </w:r>
    </w:p>
    <w:p>
      <w:pPr>
        <w:spacing w:line="360" w:lineRule="auto"/>
        <w:rPr>
          <w:rFonts w:hint="eastAsia"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2.</w:t>
      </w:r>
      <w:r>
        <w:rPr>
          <w:rFonts w:hint="eastAsia" w:ascii="微软雅黑" w:hAnsi="微软雅黑" w:eastAsia="微软雅黑"/>
          <w:szCs w:val="21"/>
        </w:rPr>
        <w:t>3</w:t>
      </w:r>
      <w:r>
        <w:rPr>
          <w:rFonts w:ascii="微软雅黑" w:hAnsi="微软雅黑" w:eastAsia="微软雅黑"/>
          <w:szCs w:val="21"/>
        </w:rPr>
        <w:t xml:space="preserve"> 项目规模：</w:t>
      </w:r>
      <w:r>
        <w:rPr>
          <w:rFonts w:hint="eastAsia" w:ascii="微软雅黑" w:hAnsi="微软雅黑" w:eastAsia="微软雅黑"/>
          <w:szCs w:val="21"/>
        </w:rPr>
        <w:t>东莞望牛墩东莞拾光公馆项目总建设项目用地面积6848.26㎡，总建筑面积20834.8㎡，计容建筑面积13696.52㎡，其中住宅计容面积13466㎡，配套用房计容面积230.52㎡；不计容建筑面积7138.3㎡，主要为地下车库及设备用房。上述指标有调整以实际为准。</w:t>
      </w:r>
    </w:p>
    <w:p>
      <w:pPr>
        <w:spacing w:line="360" w:lineRule="auto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</w:rPr>
        <w:t>项目南面邻近海德骏园二期（目前已交付入住），1#号楼离在建项目基坑边缘32米，5#号楼离在建项目基坑边缘21.7米，4#号楼离在建项目基坑边缘28.5米，最近地下室边线离基坑边缘11.4米。北面为海德骏园一期（目前已交付入住）离基坑边缘约56米，东面为海德兰轩（目前已交付入住）离基坑边缘约50米，其中海德骏园二期业主投诉严重，担心我司施工过程中会对已有建筑物造成永久伤害。</w:t>
      </w:r>
    </w:p>
    <w:p>
      <w:pPr>
        <w:pStyle w:val="6"/>
        <w:rPr>
          <w:rFonts w:hint="default" w:ascii="微软雅黑" w:hAnsi="微软雅黑" w:eastAsia="微软雅黑" w:cstheme="minorBidi"/>
          <w:kern w:val="2"/>
          <w:sz w:val="21"/>
          <w:szCs w:val="21"/>
          <w:lang w:val="en-US" w:eastAsia="zh-CN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 xml:space="preserve">2.4 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建筑形式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高层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2.5 采购方式：邀请招标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2.6 承包方式：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工程量清单报价，固定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综合单价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包干</w:t>
      </w:r>
    </w:p>
    <w:p>
      <w:pPr>
        <w:pStyle w:val="6"/>
        <w:rPr>
          <w:rFonts w:hint="default" w:ascii="微软雅黑" w:hAnsi="微软雅黑" w:eastAsia="微软雅黑" w:cstheme="minorBidi"/>
          <w:kern w:val="2"/>
          <w:sz w:val="21"/>
          <w:szCs w:val="21"/>
          <w:lang w:val="en-US" w:eastAsia="zh-CN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2.7 工期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和质量要求</w:t>
      </w:r>
    </w:p>
    <w:p>
      <w:pPr>
        <w:spacing w:line="360" w:lineRule="auto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Cs w:val="21"/>
        </w:rPr>
        <w:t>计划开工日期：计划开工日期：2020年12月25日，计划竣工日期：2021年4月15日，共112日历天，实际开竣工日期以甲方书面通知为准。进场后20天内需出具鉴定报告</w:t>
      </w:r>
      <w:r>
        <w:rPr>
          <w:rFonts w:hint="eastAsia" w:ascii="微软雅黑" w:hAnsi="微软雅黑" w:eastAsia="微软雅黑" w:cs="微软雅黑"/>
          <w:szCs w:val="21"/>
          <w:lang w:eastAsia="zh-CN"/>
        </w:rPr>
        <w:t>。</w:t>
      </w:r>
    </w:p>
    <w:p>
      <w:pPr>
        <w:spacing w:line="360" w:lineRule="auto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质量要求：根据甲方现场实际要求，视情况提供过程检测报告及最终报告文件，且报告须符合政府要求，具备权威性。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3.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</w:rPr>
        <w:t>付款方式（现金支付）：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  <w:t>3.1本合同无预付款；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  <w:t>3.2工程款支付按现场进度节点支付：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  <w:t>乙方完成施工前房屋鉴定所有内容并出具《房屋安全鉴定报告》，甲方按照审核后的工程量向乙方支付至已完工程量的的 80 %；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  <w:t>基坑工程完工至正负零标高且回填后，所有监测工作完成且报告出具完毕，进行结算，结算完成后支付至结算金额的100%。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  <w:lang w:val="en-US" w:eastAsia="zh-CN"/>
        </w:rPr>
        <w:t>3.3质保金：无。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4.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</w:rPr>
        <w:t>履约保证金</w:t>
      </w:r>
      <w:r>
        <w:rPr>
          <w:rFonts w:hint="eastAsia" w:ascii="微软雅黑" w:hAnsi="微软雅黑" w:eastAsia="微软雅黑" w:cstheme="minorBidi"/>
          <w:b w:val="0"/>
          <w:bCs w:val="0"/>
          <w:kern w:val="2"/>
          <w:sz w:val="21"/>
          <w:szCs w:val="21"/>
        </w:rPr>
        <w:t>：</w:t>
      </w:r>
    </w:p>
    <w:p>
      <w:pPr>
        <w:pStyle w:val="6"/>
        <w:numPr>
          <w:ilvl w:val="0"/>
          <w:numId w:val="0"/>
        </w:numPr>
        <w:rPr>
          <w:rFonts w:hint="eastAsia" w:ascii="微软雅黑" w:hAnsi="微软雅黑" w:eastAsia="微软雅黑" w:cstheme="minorBidi"/>
          <w:kern w:val="2"/>
          <w:sz w:val="21"/>
          <w:szCs w:val="21"/>
          <w:lang w:eastAsia="zh-CN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暂定合同总价的5%作为履约保证金（现金或银行履约保函），履约保证金在甲方保管期间不计息，工程完工并通过竣工验收后在扣除乙方违约部分（若有）后无息退还。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5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.评/定标方式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5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 xml:space="preserve">.1 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定标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原则：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在技术标合格的前提下，合理最低价中标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5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.2 标段设置：共1个标段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5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.3 回标次数：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一轮回标，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技术标投标回标1次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，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商务标投标回标1次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。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6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 入围标准（投标人资格要求）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</w:rPr>
        <w:t>：</w:t>
      </w:r>
    </w:p>
    <w:p>
      <w:pPr>
        <w:pStyle w:val="6"/>
        <w:rPr>
          <w:rFonts w:hint="eastAsia"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1）凡申请入围企业须为中梁控股集团审核入库的企业方可报名。</w:t>
      </w:r>
    </w:p>
    <w:p>
      <w:pPr>
        <w:pStyle w:val="6"/>
        <w:rPr>
          <w:rFonts w:hint="eastAsia"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2）资质要求：需在东莞市住房和城乡建设局备案企业类型为房屋安全鉴定机构</w:t>
      </w:r>
    </w:p>
    <w:p>
      <w:pPr>
        <w:pStyle w:val="6"/>
        <w:rPr>
          <w:rFonts w:hint="eastAsia"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3）注册资金和近三年年均产值要求：注册资金不少于100万元，近三年年均产值不少于300万。</w:t>
      </w:r>
    </w:p>
    <w:p>
      <w:pPr>
        <w:pStyle w:val="6"/>
        <w:rPr>
          <w:rFonts w:hint="eastAsia"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4）业绩要求：近三年与全国前30强或属地前3强地产企业合作类似业绩不少于2个。</w:t>
      </w:r>
    </w:p>
    <w:p>
      <w:pPr>
        <w:pStyle w:val="6"/>
        <w:rPr>
          <w:rFonts w:hint="eastAsia"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5）项目经理资格要求要求：担任项目经理两年以上，近五年同类工程业绩不少于2个。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6）其他要求：与其他知名地产合同履约情况良好，无恶意索赔。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7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</w:rPr>
        <w:t>.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 xml:space="preserve"> 投标保证金要求：</w:t>
      </w:r>
    </w:p>
    <w:p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pacing w:val="-6"/>
          <w:szCs w:val="21"/>
        </w:rPr>
        <w:t>本工程投标保证金为人民币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Cs w:val="21"/>
          <w:u w:val="singl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万 </w:t>
      </w:r>
      <w:r>
        <w:rPr>
          <w:rFonts w:hint="eastAsia" w:ascii="微软雅黑" w:hAnsi="微软雅黑" w:eastAsia="微软雅黑" w:cs="微软雅黑"/>
          <w:szCs w:val="21"/>
        </w:rPr>
        <w:t>元整。</w:t>
      </w:r>
    </w:p>
    <w:p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采用银行转账方式。</w:t>
      </w:r>
    </w:p>
    <w:p>
      <w:pPr>
        <w:spacing w:line="360" w:lineRule="auto"/>
        <w:rPr>
          <w:rFonts w:ascii="微软雅黑" w:hAnsi="微软雅黑" w:eastAsia="微软雅黑" w:cs="微软雅黑"/>
          <w:szCs w:val="21"/>
          <w:lang w:val="zh-CN"/>
        </w:rPr>
      </w:pPr>
      <w:r>
        <w:rPr>
          <w:rFonts w:hint="eastAsia" w:ascii="微软雅黑" w:hAnsi="微软雅黑" w:eastAsia="微软雅黑" w:cs="微软雅黑"/>
          <w:szCs w:val="21"/>
          <w:u w:val="single"/>
        </w:rPr>
        <w:t>2020</w:t>
      </w:r>
      <w:r>
        <w:rPr>
          <w:rFonts w:hint="eastAsia" w:ascii="微软雅黑" w:hAnsi="微软雅黑" w:eastAsia="微软雅黑" w:cs="微软雅黑"/>
          <w:szCs w:val="21"/>
        </w:rPr>
        <w:t>年</w:t>
      </w:r>
      <w:r>
        <w:rPr>
          <w:rFonts w:hint="eastAsia" w:ascii="微软雅黑" w:hAnsi="微软雅黑" w:eastAsia="微软雅黑" w:cs="微软雅黑"/>
          <w:szCs w:val="21"/>
          <w:u w:val="single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szCs w:val="21"/>
        </w:rPr>
        <w:t>月</w:t>
      </w:r>
      <w:r>
        <w:rPr>
          <w:rFonts w:hint="eastAsia" w:ascii="微软雅黑" w:hAnsi="微软雅黑" w:eastAsia="微软雅黑" w:cs="微软雅黑"/>
          <w:szCs w:val="21"/>
          <w:u w:val="single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szCs w:val="21"/>
        </w:rPr>
        <w:t>日</w:t>
      </w:r>
      <w:r>
        <w:rPr>
          <w:rFonts w:hint="eastAsia" w:ascii="微软雅黑" w:hAnsi="微软雅黑" w:eastAsia="微软雅黑" w:cs="微软雅黑"/>
          <w:szCs w:val="21"/>
          <w:lang w:val="en-US" w:eastAsia="zh-CN"/>
        </w:rPr>
        <w:t>18</w:t>
      </w:r>
      <w:r>
        <w:rPr>
          <w:rFonts w:hint="eastAsia" w:ascii="微软雅黑" w:hAnsi="微软雅黑" w:eastAsia="微软雅黑" w:cs="微软雅黑"/>
          <w:szCs w:val="21"/>
        </w:rPr>
        <w:t>时前打入招标人账号(时间以招标邀请函为准)。</w:t>
      </w:r>
      <w:r>
        <w:rPr>
          <w:rFonts w:hint="eastAsia" w:ascii="微软雅黑" w:hAnsi="微软雅黑" w:eastAsia="微软雅黑" w:cs="微软雅黑"/>
          <w:szCs w:val="21"/>
          <w:lang w:val="zh-CN"/>
        </w:rPr>
        <w:t xml:space="preserve"> </w:t>
      </w:r>
    </w:p>
    <w:p>
      <w:pPr>
        <w:rPr>
          <w:rFonts w:ascii="微软雅黑" w:hAnsi="微软雅黑" w:eastAsia="微软雅黑" w:cs="微软雅黑"/>
          <w:bCs/>
          <w:kern w:val="0"/>
          <w:szCs w:val="21"/>
          <w:lang w:val="zh-CN"/>
        </w:rPr>
      </w:pPr>
      <w:r>
        <w:rPr>
          <w:rFonts w:hint="eastAsia" w:ascii="微软雅黑" w:hAnsi="微软雅黑" w:eastAsia="微软雅黑" w:cs="微软雅黑"/>
          <w:bCs/>
          <w:kern w:val="0"/>
          <w:szCs w:val="21"/>
        </w:rPr>
        <w:t>户  名：东莞市梁景置业有限公司</w:t>
      </w:r>
    </w:p>
    <w:p>
      <w:pPr>
        <w:rPr>
          <w:rFonts w:ascii="微软雅黑" w:hAnsi="微软雅黑" w:eastAsia="微软雅黑" w:cs="微软雅黑"/>
          <w:bCs/>
          <w:kern w:val="0"/>
          <w:szCs w:val="21"/>
          <w:lang w:val="zh-CN"/>
        </w:rPr>
      </w:pPr>
      <w:r>
        <w:rPr>
          <w:rFonts w:hint="eastAsia" w:ascii="微软雅黑" w:hAnsi="微软雅黑" w:eastAsia="微软雅黑" w:cs="微软雅黑"/>
          <w:bCs/>
          <w:kern w:val="0"/>
          <w:szCs w:val="21"/>
          <w:lang w:val="zh-CN"/>
        </w:rPr>
        <w:t>开户行：中国建设银行股份有限公司东莞望牛墩支行</w:t>
      </w:r>
    </w:p>
    <w:p>
      <w:pPr>
        <w:spacing w:line="120" w:lineRule="auto"/>
        <w:rPr>
          <w:rFonts w:ascii="微软雅黑" w:hAnsi="微软雅黑" w:eastAsia="微软雅黑" w:cs="微软雅黑"/>
          <w:bCs/>
          <w:kern w:val="0"/>
          <w:szCs w:val="21"/>
        </w:rPr>
      </w:pPr>
      <w:r>
        <w:rPr>
          <w:rFonts w:hint="eastAsia" w:ascii="微软雅黑" w:hAnsi="微软雅黑" w:eastAsia="微软雅黑" w:cs="微软雅黑"/>
          <w:bCs/>
          <w:kern w:val="0"/>
          <w:szCs w:val="21"/>
        </w:rPr>
        <w:t>帐  号：44050177700800000551</w:t>
      </w:r>
    </w:p>
    <w:p>
      <w:pPr>
        <w:pStyle w:val="6"/>
        <w:rPr>
          <w:rFonts w:hint="eastAsia" w:ascii="微软雅黑" w:hAnsi="微软雅黑" w:eastAsia="微软雅黑" w:cs="微软雅黑"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Cs/>
          <w:kern w:val="0"/>
          <w:sz w:val="21"/>
          <w:szCs w:val="21"/>
          <w:lang w:val="en-US" w:eastAsia="zh-CN" w:bidi="ar-SA"/>
        </w:rPr>
        <w:t>（转账注明：东莞拾光公馆项目房屋安全鉴定工程投标保证金）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注：未中标单位，投标保证金在投标有效期内退回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投标单位报名前，需已具备当地主管部门备案等相关手续。中标单位若为外地企业，当地所需的政府备案等相关手续等，中标单位自行解决，所需费用自行负责（如有）。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  投标报名条件及提交材料：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.1、法定代表人授权委托书；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.2、投标承诺函；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.3、企业简介、生产制作许可证（如有）；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.4、近三年业绩表和近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三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年的财务年度审计报告；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.5、标杆企业合作合同证明（如有）；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8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.6、三证一照（营业执照，组织机构代码证，资质文件），税务证明等；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注：所有资料均需提供电子版一份（带公章文件的扫描文件）。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9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 在线报名和投标资料提交截止日期：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2020年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12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月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12</w:t>
      </w:r>
      <w:bookmarkStart w:id="0" w:name="_GoBack"/>
      <w:bookmarkEnd w:id="0"/>
      <w:r>
        <w:rPr>
          <w:rFonts w:ascii="微软雅黑" w:hAnsi="微软雅黑" w:eastAsia="微软雅黑" w:cstheme="minorBidi"/>
          <w:kern w:val="2"/>
          <w:sz w:val="21"/>
          <w:szCs w:val="21"/>
        </w:rPr>
        <w:t>日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18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：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00时。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10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 招标联系人及地址：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联系人：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谢清</w:t>
      </w:r>
    </w:p>
    <w:p>
      <w:pPr>
        <w:pStyle w:val="6"/>
        <w:rPr>
          <w:rFonts w:hint="default" w:ascii="微软雅黑" w:hAnsi="微软雅黑" w:eastAsia="微软雅黑" w:cstheme="minorBidi"/>
          <w:kern w:val="2"/>
          <w:sz w:val="21"/>
          <w:szCs w:val="21"/>
          <w:lang w:val="en-US" w:eastAsia="zh-CN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联系电话：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lang w:val="en-US" w:eastAsia="zh-CN"/>
        </w:rPr>
        <w:t>13048090724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联系地址：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广州市番禺区番山智库总部园区5栋6</w:t>
      </w:r>
      <w:r>
        <w:rPr>
          <w:rFonts w:ascii="微软雅黑" w:hAnsi="微软雅黑" w:eastAsia="微软雅黑" w:cstheme="minorBidi"/>
          <w:kern w:val="2"/>
          <w:sz w:val="21"/>
          <w:szCs w:val="21"/>
        </w:rPr>
        <w:t>B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kern w:val="2"/>
          <w:sz w:val="21"/>
          <w:szCs w:val="21"/>
        </w:rPr>
        <w:t>邮箱：</w:t>
      </w:r>
      <w:r>
        <w:rPr>
          <w:rFonts w:hint="eastAsia" w:ascii="微软雅黑" w:hAnsi="微软雅黑" w:eastAsia="微软雅黑" w:cstheme="minorBidi"/>
          <w:kern w:val="2"/>
          <w:sz w:val="21"/>
          <w:szCs w:val="21"/>
          <w:u w:val="single"/>
        </w:rPr>
        <w:t>xieqing</w:t>
      </w:r>
      <w:r>
        <w:rPr>
          <w:rFonts w:ascii="微软雅黑" w:hAnsi="微软雅黑" w:eastAsia="微软雅黑" w:cstheme="minorBidi"/>
          <w:kern w:val="2"/>
          <w:sz w:val="21"/>
          <w:szCs w:val="21"/>
          <w:u w:val="single"/>
        </w:rPr>
        <w:t>@zldcgroup.com</w:t>
      </w:r>
    </w:p>
    <w:p>
      <w:pPr>
        <w:pStyle w:val="6"/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</w:pP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1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1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.监察投诉电话：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甲方接受乙方实名举报或投诉，并对举报人的信息进行保密。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投诉受理部门：中梁控股集团监审3G平台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监审 3G 平台（维生特）微信公众号：廉洁中梁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投诉举报邮箱：jc@wsttop.com；zldcsjb@zldcgroup.com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投诉举报微信：ZL18918862260；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3232785</wp:posOffset>
            </wp:positionH>
            <wp:positionV relativeFrom="paragraph">
              <wp:posOffset>-189230</wp:posOffset>
            </wp:positionV>
            <wp:extent cx="1130935" cy="1016000"/>
            <wp:effectExtent l="0" t="0" r="0" b="0"/>
            <wp:wrapSquare wrapText="bothSides"/>
            <wp:docPr id="1" name="图片 1" descr="C:\Users\ThinkPad\Desktop\廉洁中梁.png廉洁中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ThinkPad\Desktop\廉洁中梁.png廉洁中梁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 xml:space="preserve">投诉举报电话：18918862260       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投诉举报网站：www.wsttop.com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控股集团投诉举报微信公众号：中梁控股→走进中梁→投诉举报</w:t>
      </w:r>
    </w:p>
    <w:p>
      <w:pPr>
        <w:pStyle w:val="6"/>
        <w:rPr>
          <w:rFonts w:ascii="微软雅黑" w:hAnsi="微软雅黑" w:eastAsia="微软雅黑" w:cstheme="minorBidi"/>
          <w:kern w:val="2"/>
          <w:sz w:val="21"/>
          <w:szCs w:val="21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1"/>
        </w:rPr>
        <w:t>信函渠道：上海市普陀区云岭东路 235 号长风跨国采购会展中心 3 号楼 20 层</w:t>
      </w:r>
    </w:p>
    <w:p>
      <w:pPr>
        <w:pStyle w:val="6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1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1"/>
          <w:lang w:val="en-US" w:eastAsia="zh-CN"/>
        </w:rPr>
        <w:t>2</w:t>
      </w:r>
      <w:r>
        <w:rPr>
          <w:rFonts w:ascii="微软雅黑" w:hAnsi="微软雅黑" w:eastAsia="微软雅黑" w:cstheme="minorBidi"/>
          <w:b/>
          <w:bCs/>
          <w:kern w:val="2"/>
          <w:sz w:val="21"/>
          <w:szCs w:val="21"/>
        </w:rPr>
        <w:t>.若本公告相关内容与正式发出的招标文件不一致，以正式发出的招标文件为准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97875"/>
    <w:multiLevelType w:val="multilevel"/>
    <w:tmpl w:val="16597875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426" w:firstLine="0"/>
      </w:pPr>
      <w:rPr>
        <w:rFonts w:hint="eastAsia" w:ascii="宋体" w:hAnsi="宋体" w:eastAsia="宋体"/>
        <w:b w:val="0"/>
        <w:sz w:val="21"/>
        <w:szCs w:val="21"/>
      </w:rPr>
    </w:lvl>
    <w:lvl w:ilvl="2" w:tentative="0">
      <w:start w:val="1"/>
      <w:numFmt w:val="decimal"/>
      <w:suff w:val="space"/>
      <w:lvlText w:val="%1.%2.%3 "/>
      <w:lvlJc w:val="left"/>
      <w:pPr>
        <w:ind w:left="142" w:firstLine="0"/>
      </w:pPr>
      <w:rPr>
        <w:rFonts w:hint="eastAsia" w:ascii="宋体" w:hAnsi="宋体" w:eastAsia="宋体"/>
        <w:b w:val="0"/>
        <w:sz w:val="21"/>
        <w:szCs w:val="21"/>
      </w:rPr>
    </w:lvl>
    <w:lvl w:ilvl="3" w:tentative="0">
      <w:start w:val="1"/>
      <w:numFmt w:val="decimal"/>
      <w:pStyle w:val="18"/>
      <w:suff w:val="space"/>
      <w:lvlText w:val="%1.%2.%3.%4"/>
      <w:lvlJc w:val="left"/>
      <w:pPr>
        <w:ind w:left="567" w:firstLine="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D5"/>
    <w:rsid w:val="00005F16"/>
    <w:rsid w:val="0001268F"/>
    <w:rsid w:val="00013C98"/>
    <w:rsid w:val="0001645E"/>
    <w:rsid w:val="00021C99"/>
    <w:rsid w:val="00027E07"/>
    <w:rsid w:val="00034B6B"/>
    <w:rsid w:val="000826FC"/>
    <w:rsid w:val="00083B60"/>
    <w:rsid w:val="0008742F"/>
    <w:rsid w:val="00087F39"/>
    <w:rsid w:val="000C1788"/>
    <w:rsid w:val="0011757D"/>
    <w:rsid w:val="00117FD8"/>
    <w:rsid w:val="0012156F"/>
    <w:rsid w:val="00163216"/>
    <w:rsid w:val="00165C12"/>
    <w:rsid w:val="00177570"/>
    <w:rsid w:val="00193761"/>
    <w:rsid w:val="001B717F"/>
    <w:rsid w:val="00293E67"/>
    <w:rsid w:val="002C589A"/>
    <w:rsid w:val="002C6655"/>
    <w:rsid w:val="002C6DE2"/>
    <w:rsid w:val="002C79B4"/>
    <w:rsid w:val="002D6B6A"/>
    <w:rsid w:val="002E443B"/>
    <w:rsid w:val="00351275"/>
    <w:rsid w:val="00372FA1"/>
    <w:rsid w:val="003A2544"/>
    <w:rsid w:val="003C3AE7"/>
    <w:rsid w:val="004017C0"/>
    <w:rsid w:val="00407EBD"/>
    <w:rsid w:val="004369BD"/>
    <w:rsid w:val="00457732"/>
    <w:rsid w:val="00474CB2"/>
    <w:rsid w:val="004C3A55"/>
    <w:rsid w:val="004D499C"/>
    <w:rsid w:val="004F016B"/>
    <w:rsid w:val="004F488B"/>
    <w:rsid w:val="00527C42"/>
    <w:rsid w:val="0053311F"/>
    <w:rsid w:val="00550F9D"/>
    <w:rsid w:val="00557B66"/>
    <w:rsid w:val="005B521C"/>
    <w:rsid w:val="00664AD4"/>
    <w:rsid w:val="00677B6B"/>
    <w:rsid w:val="006A6FF2"/>
    <w:rsid w:val="006E248B"/>
    <w:rsid w:val="00701122"/>
    <w:rsid w:val="00722491"/>
    <w:rsid w:val="007234A9"/>
    <w:rsid w:val="007406D6"/>
    <w:rsid w:val="007E1D4B"/>
    <w:rsid w:val="007F6622"/>
    <w:rsid w:val="00801A59"/>
    <w:rsid w:val="00802CB8"/>
    <w:rsid w:val="008256A4"/>
    <w:rsid w:val="00832F7D"/>
    <w:rsid w:val="0084480F"/>
    <w:rsid w:val="008B0503"/>
    <w:rsid w:val="008C64D5"/>
    <w:rsid w:val="008D5034"/>
    <w:rsid w:val="00927CEB"/>
    <w:rsid w:val="00944E12"/>
    <w:rsid w:val="009463E9"/>
    <w:rsid w:val="0095169E"/>
    <w:rsid w:val="00953BEF"/>
    <w:rsid w:val="00980E12"/>
    <w:rsid w:val="009B266A"/>
    <w:rsid w:val="009C1CD7"/>
    <w:rsid w:val="009D345B"/>
    <w:rsid w:val="00A06E6E"/>
    <w:rsid w:val="00A1030E"/>
    <w:rsid w:val="00A52539"/>
    <w:rsid w:val="00A70A03"/>
    <w:rsid w:val="00A871A7"/>
    <w:rsid w:val="00A9516C"/>
    <w:rsid w:val="00AC2064"/>
    <w:rsid w:val="00AC5F00"/>
    <w:rsid w:val="00AD48B4"/>
    <w:rsid w:val="00AD4B95"/>
    <w:rsid w:val="00B03FE7"/>
    <w:rsid w:val="00B112AA"/>
    <w:rsid w:val="00B22C4A"/>
    <w:rsid w:val="00B4325E"/>
    <w:rsid w:val="00B7204C"/>
    <w:rsid w:val="00BC2B66"/>
    <w:rsid w:val="00BC4B7A"/>
    <w:rsid w:val="00BD675F"/>
    <w:rsid w:val="00BE1A14"/>
    <w:rsid w:val="00BE3A3E"/>
    <w:rsid w:val="00BF224C"/>
    <w:rsid w:val="00C15BCB"/>
    <w:rsid w:val="00C2251B"/>
    <w:rsid w:val="00C63854"/>
    <w:rsid w:val="00C82468"/>
    <w:rsid w:val="00C83D38"/>
    <w:rsid w:val="00C92351"/>
    <w:rsid w:val="00CD3324"/>
    <w:rsid w:val="00CE18AF"/>
    <w:rsid w:val="00CE2289"/>
    <w:rsid w:val="00CF4ED0"/>
    <w:rsid w:val="00D131D9"/>
    <w:rsid w:val="00D350D8"/>
    <w:rsid w:val="00D43BD0"/>
    <w:rsid w:val="00D9067F"/>
    <w:rsid w:val="00DE288B"/>
    <w:rsid w:val="00DE50D2"/>
    <w:rsid w:val="00DE7DB9"/>
    <w:rsid w:val="00DF1114"/>
    <w:rsid w:val="00DF7624"/>
    <w:rsid w:val="00E25B42"/>
    <w:rsid w:val="00E3776D"/>
    <w:rsid w:val="00E40FEF"/>
    <w:rsid w:val="00E665D6"/>
    <w:rsid w:val="00ED0292"/>
    <w:rsid w:val="00ED3640"/>
    <w:rsid w:val="00EF300A"/>
    <w:rsid w:val="00F060C0"/>
    <w:rsid w:val="00F55911"/>
    <w:rsid w:val="00F73862"/>
    <w:rsid w:val="00F95B44"/>
    <w:rsid w:val="00FA3F45"/>
    <w:rsid w:val="00FB206F"/>
    <w:rsid w:val="00FB75F1"/>
    <w:rsid w:val="039D31C0"/>
    <w:rsid w:val="08614627"/>
    <w:rsid w:val="095B2042"/>
    <w:rsid w:val="0C412896"/>
    <w:rsid w:val="17540084"/>
    <w:rsid w:val="19901AC9"/>
    <w:rsid w:val="1A112E64"/>
    <w:rsid w:val="24BE6245"/>
    <w:rsid w:val="26780E6A"/>
    <w:rsid w:val="36272249"/>
    <w:rsid w:val="408D2884"/>
    <w:rsid w:val="41236454"/>
    <w:rsid w:val="438E2F98"/>
    <w:rsid w:val="56E04912"/>
    <w:rsid w:val="61D33E65"/>
    <w:rsid w:val="69BF7F4C"/>
    <w:rsid w:val="6AF715D9"/>
    <w:rsid w:val="71E90CCA"/>
    <w:rsid w:val="7FB76353"/>
    <w:rsid w:val="7FEE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9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75" w:after="75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标题 1 字符"/>
    <w:basedOn w:val="9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1 字符1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16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样式4 Char"/>
    <w:link w:val="18"/>
    <w:qFormat/>
    <w:uiPriority w:val="0"/>
    <w:rPr>
      <w:szCs w:val="24"/>
    </w:rPr>
  </w:style>
  <w:style w:type="paragraph" w:customStyle="1" w:styleId="18">
    <w:name w:val="样式4"/>
    <w:basedOn w:val="1"/>
    <w:link w:val="17"/>
    <w:qFormat/>
    <w:uiPriority w:val="0"/>
    <w:pPr>
      <w:numPr>
        <w:ilvl w:val="3"/>
        <w:numId w:val="1"/>
      </w:numPr>
      <w:spacing w:line="400" w:lineRule="exact"/>
    </w:pPr>
    <w:rPr>
      <w:szCs w:val="24"/>
    </w:rPr>
  </w:style>
  <w:style w:type="character" w:customStyle="1" w:styleId="19">
    <w:name w:val="纯文本 字符"/>
    <w:basedOn w:val="9"/>
    <w:link w:val="3"/>
    <w:qFormat/>
    <w:uiPriority w:val="0"/>
    <w:rPr>
      <w:rFonts w:ascii="宋体" w:hAnsi="Courier New" w:eastAsia="宋体" w:cs="Times New Roman"/>
      <w:szCs w:val="20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C92A60-1F6E-49C8-A211-26AB196F18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334</Words>
  <Characters>1908</Characters>
  <Lines>15</Lines>
  <Paragraphs>4</Paragraphs>
  <TotalTime>30</TotalTime>
  <ScaleCrop>false</ScaleCrop>
  <LinksUpToDate>false</LinksUpToDate>
  <CharactersWithSpaces>2238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2018-09-07T06:06:00Z</dcterms:created>
  <dc:creator>asus</dc:creator>
  <cp:lastModifiedBy>kuziye</cp:lastModifiedBy>
  <dcterms:modified xsi:type="dcterms:W3CDTF">2020-12-12T13:34:04Z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